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2561E" w:rsidRDefault="00000000">
      <w:pPr>
        <w:spacing w:before="200"/>
        <w:jc w:val="center"/>
      </w:pPr>
      <w:r>
        <w:rPr>
          <w:rFonts w:eastAsia="Calibri"/>
          <w:color w:val="666666"/>
          <w:sz w:val="22"/>
          <w:szCs w:val="22"/>
        </w:rPr>
        <w:t>7DT/7DS Open Time Program</w:t>
      </w:r>
    </w:p>
    <w:p w:rsidR="0062561E" w:rsidRDefault="00000000">
      <w:pPr>
        <w:spacing w:before="60" w:after="40"/>
        <w:jc w:val="center"/>
      </w:pPr>
      <w:r>
        <w:rPr>
          <w:rFonts w:eastAsia="Calibri"/>
          <w:b/>
          <w:bCs/>
          <w:color w:val="1F3864"/>
          <w:sz w:val="30"/>
          <w:szCs w:val="30"/>
        </w:rPr>
        <w:t>Phase 1 Proposal — Preparation Instructions</w:t>
      </w:r>
    </w:p>
    <w:p w:rsidR="0062561E" w:rsidRDefault="0062561E">
      <w:pPr>
        <w:pBdr>
          <w:bottom w:val="single" w:sz="4" w:space="0" w:color="BFBFBF"/>
        </w:pBdr>
        <w:spacing w:before="40" w:after="60"/>
      </w:pPr>
    </w:p>
    <w:p w:rsidR="0062561E" w:rsidRDefault="00000000">
      <w:pPr>
        <w:spacing w:before="40" w:after="40"/>
      </w:pPr>
      <w:r>
        <w:rPr>
          <w:rFonts w:eastAsia="Calibri"/>
          <w:color w:val="000000"/>
          <w:sz w:val="19"/>
          <w:szCs w:val="19"/>
        </w:rPr>
        <w:t>This document explains how to complete each item of the 7DT/7DS Phase 1 Observing Proposal Form. Please read it before writing your proposal, and use it alongside the Proposal Form.</w:t>
      </w:r>
    </w:p>
    <w:p w:rsidR="0062561E" w:rsidRDefault="00000000">
      <w:pPr>
        <w:spacing w:before="40" w:after="40"/>
      </w:pPr>
      <w:r>
        <w:rPr>
          <w:rFonts w:eastAsia="Calibri"/>
          <w:i/>
          <w:iCs/>
          <w:color w:val="666666"/>
          <w:sz w:val="19"/>
          <w:szCs w:val="19"/>
        </w:rPr>
        <w:t>Policies associated with a time allocation — including automatic membership in the 7DS Working Group and co-authorship requirements — are set out in the Call for Proposals. Please review that document as well.</w:t>
      </w:r>
    </w:p>
    <w:p w:rsidR="0062561E" w:rsidRDefault="00000000">
      <w:pPr>
        <w:pStyle w:val="Heading1"/>
        <w:keepNext/>
        <w:spacing w:before="320" w:after="140"/>
      </w:pPr>
      <w:r>
        <w:rPr>
          <w:rFonts w:eastAsia="Calibri"/>
          <w:b/>
          <w:bCs/>
          <w:color w:val="1F3864"/>
          <w:sz w:val="26"/>
          <w:szCs w:val="26"/>
        </w:rPr>
        <w:t>1. General Information</w:t>
      </w:r>
    </w:p>
    <w:p w:rsidR="0062561E" w:rsidRDefault="00000000">
      <w:pPr>
        <w:keepNext/>
        <w:spacing w:before="220" w:after="70"/>
      </w:pPr>
      <w:r>
        <w:rPr>
          <w:rFonts w:eastAsia="Calibri"/>
          <w:b/>
          <w:bCs/>
          <w:color w:val="1F3864"/>
          <w:sz w:val="21"/>
          <w:szCs w:val="21"/>
        </w:rPr>
        <w:t>Title of Proposal</w:t>
      </w:r>
    </w:p>
    <w:p w:rsidR="0062561E" w:rsidRDefault="00000000" w:rsidP="00BE636E">
      <w:pPr>
        <w:spacing w:before="40" w:after="40"/>
        <w:jc w:val="both"/>
      </w:pPr>
      <w:r>
        <w:rPr>
          <w:rFonts w:eastAsia="Calibri"/>
          <w:color w:val="000000"/>
          <w:sz w:val="19"/>
          <w:szCs w:val="19"/>
        </w:rPr>
        <w:t>Give a single-line title for your proposal. It is used to identify the proposal throughout review and time allocation, so make it specific and concise.</w:t>
      </w:r>
    </w:p>
    <w:p w:rsidR="0062561E" w:rsidRDefault="00000000">
      <w:pPr>
        <w:keepNext/>
        <w:spacing w:before="220" w:after="70"/>
      </w:pPr>
      <w:r>
        <w:rPr>
          <w:rFonts w:eastAsia="Calibri"/>
          <w:b/>
          <w:bCs/>
          <w:color w:val="1F3864"/>
          <w:sz w:val="21"/>
          <w:szCs w:val="21"/>
        </w:rPr>
        <w:t>Principal Investigator (PI)</w:t>
      </w:r>
    </w:p>
    <w:p w:rsidR="0062561E" w:rsidRDefault="00000000" w:rsidP="00BE636E">
      <w:pPr>
        <w:spacing w:before="40" w:after="40"/>
        <w:jc w:val="both"/>
      </w:pPr>
      <w:r>
        <w:rPr>
          <w:rFonts w:eastAsia="Calibri"/>
          <w:color w:val="000000"/>
          <w:sz w:val="19"/>
          <w:szCs w:val="19"/>
        </w:rPr>
        <w:t>Provide the contact details of the single investigator who takes responsibility for the proposal: full name, institutional affiliation, and an e-mail address at which review outcomes and other correspondence can be reached. Also check whether the PI is a member of the Korean Astronomical Society (KAS); this determines which of the two allocation pools (KASI or general KAS) the proposal is counted against, as described in the Call for Proposals.</w:t>
      </w:r>
    </w:p>
    <w:p w:rsidR="0062561E" w:rsidRDefault="00000000">
      <w:pPr>
        <w:keepNext/>
        <w:spacing w:before="220" w:after="70"/>
      </w:pPr>
      <w:r>
        <w:rPr>
          <w:rFonts w:eastAsia="Calibri"/>
          <w:b/>
          <w:bCs/>
          <w:color w:val="1F3864"/>
          <w:sz w:val="21"/>
          <w:szCs w:val="21"/>
        </w:rPr>
        <w:t>Co-Investigators (Co-Is)</w:t>
      </w:r>
    </w:p>
    <w:p w:rsidR="0062561E" w:rsidRDefault="00000000">
      <w:pPr>
        <w:spacing w:before="40" w:after="40"/>
      </w:pPr>
      <w:r>
        <w:rPr>
          <w:rFonts w:eastAsia="Calibri"/>
          <w:color w:val="000000"/>
          <w:sz w:val="19"/>
          <w:szCs w:val="19"/>
        </w:rPr>
        <w:t>List every co-investigator, one per line, in the following format. There is no limit on the number of Co-Is.</w:t>
      </w:r>
    </w:p>
    <w:p w:rsidR="0062561E" w:rsidRDefault="00000000">
      <w:pPr>
        <w:spacing w:before="40" w:after="40"/>
      </w:pPr>
      <w:r>
        <w:rPr>
          <w:rFonts w:eastAsia="Calibri"/>
          <w:i/>
          <w:iCs/>
          <w:color w:val="666666"/>
          <w:sz w:val="19"/>
          <w:szCs w:val="19"/>
        </w:rPr>
        <w:t>Format: Name (Affiliation) — E-mail</w:t>
      </w:r>
    </w:p>
    <w:p w:rsidR="0062561E" w:rsidRDefault="00000000">
      <w:pPr>
        <w:spacing w:before="40" w:after="40"/>
      </w:pPr>
      <w:r>
        <w:rPr>
          <w:rFonts w:eastAsia="Calibri"/>
          <w:i/>
          <w:iCs/>
          <w:color w:val="666666"/>
          <w:sz w:val="19"/>
          <w:szCs w:val="19"/>
        </w:rPr>
        <w:t>Example: Jane Doe (Seoul National University) — jane.doe@snu.ac.kr</w:t>
      </w:r>
    </w:p>
    <w:p w:rsidR="0062561E" w:rsidRDefault="00000000">
      <w:pPr>
        <w:keepNext/>
        <w:spacing w:before="220" w:after="70"/>
      </w:pPr>
      <w:r>
        <w:rPr>
          <w:rFonts w:eastAsia="Calibri"/>
          <w:b/>
          <w:bCs/>
          <w:color w:val="1F3864"/>
          <w:sz w:val="21"/>
          <w:szCs w:val="21"/>
        </w:rPr>
        <w:t>Scientific Category</w:t>
      </w:r>
    </w:p>
    <w:p w:rsidR="0062561E" w:rsidRDefault="00000000" w:rsidP="00BE636E">
      <w:pPr>
        <w:spacing w:before="40" w:after="40"/>
        <w:jc w:val="both"/>
      </w:pPr>
      <w:r>
        <w:rPr>
          <w:rFonts w:eastAsia="Calibri"/>
          <w:color w:val="000000"/>
          <w:sz w:val="19"/>
          <w:szCs w:val="19"/>
        </w:rPr>
        <w:t>Check the category (or categories) that best describe the science case; multiple selections are allowed. If none applies, specify your own under "Other." This classification is used to assign reviewers.</w:t>
      </w:r>
    </w:p>
    <w:p w:rsidR="0062561E" w:rsidRDefault="00000000">
      <w:pPr>
        <w:pStyle w:val="Heading1"/>
        <w:keepNext/>
        <w:spacing w:before="320" w:after="140"/>
      </w:pPr>
      <w:r>
        <w:rPr>
          <w:rFonts w:eastAsia="Calibri"/>
          <w:b/>
          <w:bCs/>
          <w:color w:val="1F3864"/>
          <w:sz w:val="26"/>
          <w:szCs w:val="26"/>
        </w:rPr>
        <w:t>2. Abstract</w:t>
      </w:r>
    </w:p>
    <w:p w:rsidR="0062561E" w:rsidRDefault="00000000" w:rsidP="00BE636E">
      <w:pPr>
        <w:spacing w:before="40" w:after="40"/>
        <w:jc w:val="both"/>
      </w:pPr>
      <w:r>
        <w:rPr>
          <w:rFonts w:eastAsia="Calibri"/>
          <w:color w:val="000000"/>
          <w:sz w:val="19"/>
          <w:szCs w:val="19"/>
        </w:rPr>
        <w:t>Summarize the aims, methods, and expected outcome of the proposed research in no more than 250 words. Write for a general astronomical audience rather than narrow specialists.</w:t>
      </w:r>
    </w:p>
    <w:p w:rsidR="0062561E" w:rsidRDefault="00000000">
      <w:pPr>
        <w:pStyle w:val="Heading1"/>
        <w:keepNext/>
        <w:spacing w:before="320" w:after="140"/>
      </w:pPr>
      <w:r>
        <w:rPr>
          <w:rFonts w:eastAsia="Calibri"/>
          <w:b/>
          <w:bCs/>
          <w:color w:val="1F3864"/>
          <w:sz w:val="26"/>
          <w:szCs w:val="26"/>
        </w:rPr>
        <w:t>3. Scientific Justification (SJ)</w:t>
      </w:r>
    </w:p>
    <w:p w:rsidR="0062561E" w:rsidRDefault="00000000" w:rsidP="00BE636E">
      <w:pPr>
        <w:spacing w:before="40" w:after="40"/>
        <w:jc w:val="both"/>
      </w:pPr>
      <w:r>
        <w:rPr>
          <w:rFonts w:eastAsia="Calibri"/>
          <w:color w:val="000000"/>
          <w:sz w:val="19"/>
          <w:szCs w:val="19"/>
        </w:rPr>
        <w:t>This is the core of the proposal: the scientific background and objectives of the project, and the case for why 7DT is the right facility for it.</w:t>
      </w:r>
    </w:p>
    <w:p w:rsidR="0062561E" w:rsidRDefault="00000000" w:rsidP="00BE636E">
      <w:pPr>
        <w:spacing w:before="20" w:after="20"/>
        <w:ind w:left="400" w:hanging="200"/>
        <w:jc w:val="both"/>
      </w:pPr>
      <w:r>
        <w:rPr>
          <w:rFonts w:eastAsia="Calibri"/>
          <w:sz w:val="19"/>
          <w:szCs w:val="19"/>
        </w:rPr>
        <w:t>•  Scientific background and motivation</w:t>
      </w:r>
    </w:p>
    <w:p w:rsidR="0062561E" w:rsidRDefault="00000000" w:rsidP="00BE636E">
      <w:pPr>
        <w:spacing w:before="20" w:after="20"/>
        <w:ind w:left="400" w:hanging="200"/>
        <w:jc w:val="both"/>
      </w:pPr>
      <w:r>
        <w:rPr>
          <w:rFonts w:eastAsia="Calibri"/>
          <w:sz w:val="19"/>
          <w:szCs w:val="19"/>
        </w:rPr>
        <w:t>•  Specific objectives and, where applicable, testable hypotheses</w:t>
      </w:r>
    </w:p>
    <w:p w:rsidR="0062561E" w:rsidRDefault="00000000" w:rsidP="00BE636E">
      <w:pPr>
        <w:spacing w:before="20" w:after="20"/>
        <w:ind w:left="400" w:hanging="200"/>
        <w:jc w:val="both"/>
      </w:pPr>
      <w:r>
        <w:rPr>
          <w:rFonts w:eastAsia="Calibri"/>
          <w:sz w:val="19"/>
          <w:szCs w:val="19"/>
        </w:rPr>
        <w:t>•  Why 7DT/7DS is required to achieve these objectives — e.g., its wide field of view, simultaneous multi-band medium-band imaging, or rapid response capability — relative to other available facilities</w:t>
      </w:r>
    </w:p>
    <w:p w:rsidR="0062561E" w:rsidRDefault="00000000" w:rsidP="00BE636E">
      <w:pPr>
        <w:spacing w:before="20" w:after="20"/>
        <w:ind w:left="400" w:hanging="200"/>
        <w:jc w:val="both"/>
      </w:pPr>
      <w:r>
        <w:rPr>
          <w:rFonts w:eastAsia="Calibri"/>
          <w:sz w:val="19"/>
          <w:szCs w:val="19"/>
        </w:rPr>
        <w:t>•  Expected scientific outcome</w:t>
      </w:r>
    </w:p>
    <w:p w:rsidR="0062561E" w:rsidRDefault="00000000" w:rsidP="007469F8">
      <w:pPr>
        <w:spacing w:before="40" w:after="120"/>
        <w:jc w:val="both"/>
      </w:pPr>
      <w:r>
        <w:rPr>
          <w:rFonts w:eastAsia="Calibri"/>
          <w:color w:val="000000"/>
          <w:sz w:val="19"/>
          <w:szCs w:val="19"/>
        </w:rPr>
        <w:t xml:space="preserve">The main text must not exceed one page and should not include figures or tables. For proposals requesting more than 100 hours of total observing time, up to two pages </w:t>
      </w:r>
      <w:r w:rsidR="00BE636E">
        <w:rPr>
          <w:color w:val="000000"/>
          <w:sz w:val="19"/>
          <w:szCs w:val="19"/>
          <w:lang w:val="en-US"/>
        </w:rPr>
        <w:t>are</w:t>
      </w:r>
      <w:r>
        <w:rPr>
          <w:rFonts w:eastAsia="Calibri"/>
          <w:color w:val="000000"/>
          <w:sz w:val="19"/>
          <w:szCs w:val="19"/>
        </w:rPr>
        <w:t xml:space="preserve"> allowed for the main text. You may add up to one further page of figures, tables, and references; this page is not pre-formatted in the Proposal Form — simply continue past the text page as needed. In total, SJ (text plus figures/references) must not exceed the main-text limit plus one additional page.</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62561E">
        <w:tblPrEx>
          <w:tblCellMar>
            <w:top w:w="0" w:type="dxa"/>
            <w:bottom w:w="0" w:type="dxa"/>
          </w:tblCellMar>
        </w:tblPrEx>
        <w:trPr>
          <w:cantSplit/>
        </w:trPr>
        <w:tc>
          <w:tcPr>
            <w:tcW w:w="0" w:type="auto"/>
            <w:shd w:val="clear" w:color="auto" w:fill="FFF2CC"/>
            <w:tcMar>
              <w:top w:w="110" w:type="dxa"/>
              <w:left w:w="150" w:type="dxa"/>
              <w:bottom w:w="110" w:type="dxa"/>
              <w:right w:w="150" w:type="dxa"/>
            </w:tcMar>
          </w:tcPr>
          <w:p w:rsidR="0062561E" w:rsidRDefault="00000000">
            <w:r>
              <w:rPr>
                <w:rFonts w:eastAsia="Calibri"/>
                <w:b/>
                <w:bCs/>
                <w:sz w:val="19"/>
                <w:szCs w:val="19"/>
              </w:rPr>
              <w:t xml:space="preserve">Note: </w:t>
            </w:r>
            <w:r>
              <w:rPr>
                <w:rFonts w:eastAsia="Calibri"/>
                <w:sz w:val="19"/>
                <w:szCs w:val="19"/>
              </w:rPr>
              <w:t>Figures, tables, and references must not appear within the main-text page limit; place them only on the additional page.</w:t>
            </w:r>
          </w:p>
        </w:tc>
      </w:tr>
    </w:tbl>
    <w:p w:rsidR="0062561E" w:rsidRDefault="00000000">
      <w:pPr>
        <w:pStyle w:val="Heading1"/>
        <w:keepNext/>
        <w:spacing w:before="320" w:after="140"/>
      </w:pPr>
      <w:r>
        <w:rPr>
          <w:rFonts w:eastAsia="Calibri"/>
          <w:b/>
          <w:bCs/>
          <w:color w:val="1F3864"/>
          <w:sz w:val="26"/>
          <w:szCs w:val="26"/>
        </w:rPr>
        <w:t>4. Technical Justification (TJ)</w:t>
      </w:r>
    </w:p>
    <w:p w:rsidR="0062561E" w:rsidRDefault="00000000" w:rsidP="00BE636E">
      <w:pPr>
        <w:spacing w:before="40" w:after="40"/>
        <w:jc w:val="both"/>
      </w:pPr>
      <w:r>
        <w:rPr>
          <w:rFonts w:eastAsia="Calibri"/>
          <w:color w:val="000000"/>
          <w:sz w:val="19"/>
          <w:szCs w:val="19"/>
        </w:rPr>
        <w:t>This section specifies the time, observing strategy, and targets needed to carry out the proposed observations. It is used both in the review process and, if the proposal is accepted, as the basis for scheduling and time accounting.</w:t>
      </w:r>
    </w:p>
    <w:p w:rsidR="0062561E" w:rsidRDefault="00000000">
      <w:pPr>
        <w:keepNext/>
        <w:spacing w:before="220" w:after="70"/>
      </w:pPr>
      <w:r>
        <w:rPr>
          <w:rFonts w:eastAsia="Calibri"/>
          <w:b/>
          <w:bCs/>
          <w:color w:val="1F3864"/>
          <w:sz w:val="21"/>
          <w:szCs w:val="21"/>
        </w:rPr>
        <w:lastRenderedPageBreak/>
        <w:t>Total requested hours</w:t>
      </w:r>
    </w:p>
    <w:p w:rsidR="0062561E" w:rsidRPr="00722A68" w:rsidRDefault="007469F8" w:rsidP="00BE636E">
      <w:pPr>
        <w:spacing w:before="40" w:after="40"/>
        <w:jc w:val="both"/>
        <w:rPr>
          <w:lang w:val="en-US"/>
        </w:rPr>
      </w:pPr>
      <w:r w:rsidRPr="007469F8">
        <w:rPr>
          <w:color w:val="000000"/>
          <w:sz w:val="19"/>
          <w:szCs w:val="19"/>
        </w:rPr>
        <w:t>State the total observing time required, in hours, including all overheads, not just time on source. Typical overheads are: filter exchange (8 s), autofocus (117 s), slewing (11 s per target), setup (3.5 s</w:t>
      </w:r>
      <w:r>
        <w:rPr>
          <w:color w:val="000000"/>
          <w:sz w:val="19"/>
          <w:szCs w:val="19"/>
        </w:rPr>
        <w:t xml:space="preserve"> </w:t>
      </w:r>
      <w:r>
        <w:rPr>
          <w:color w:val="000000"/>
          <w:sz w:val="19"/>
          <w:szCs w:val="19"/>
          <w:lang w:val="en-US"/>
        </w:rPr>
        <w:t>per target</w:t>
      </w:r>
      <w:r w:rsidRPr="007469F8">
        <w:rPr>
          <w:color w:val="000000"/>
          <w:sz w:val="19"/>
          <w:szCs w:val="19"/>
        </w:rPr>
        <w:t xml:space="preserve">), and readout (8 s per frame). To calculate the total requested time for your specific observing plan, including these overheads, use the </w:t>
      </w:r>
      <w:r>
        <w:rPr>
          <w:color w:val="000000"/>
          <w:sz w:val="19"/>
          <w:szCs w:val="19"/>
          <w:lang w:val="en-US"/>
        </w:rPr>
        <w:t xml:space="preserve">7DT Overhead Calculator </w:t>
      </w:r>
      <w:r w:rsidRPr="007469F8">
        <w:rPr>
          <w:color w:val="000000"/>
          <w:sz w:val="19"/>
          <w:szCs w:val="19"/>
        </w:rPr>
        <w:t xml:space="preserve">at </w:t>
      </w:r>
      <w:hyperlink r:id="rId7" w:history="1">
        <w:r w:rsidR="00722A68">
          <w:rPr>
            <w:rFonts w:eastAsia="Calibri"/>
            <w:color w:val="1155CC"/>
            <w:sz w:val="19"/>
            <w:szCs w:val="19"/>
            <w:u w:val="single"/>
          </w:rPr>
          <w:t>http://7ds.snu.ac.kr/overhead</w:t>
        </w:r>
      </w:hyperlink>
      <w:r w:rsidR="00722A68" w:rsidRPr="00722A68">
        <w:rPr>
          <w:color w:val="000000" w:themeColor="text1"/>
          <w:sz w:val="19"/>
          <w:szCs w:val="19"/>
          <w:lang w:val="en-US"/>
        </w:rPr>
        <w:t>.</w:t>
      </w:r>
    </w:p>
    <w:p w:rsidR="0062561E" w:rsidRDefault="00000000">
      <w:pPr>
        <w:keepNext/>
        <w:spacing w:before="220" w:after="70"/>
      </w:pPr>
      <w:r>
        <w:rPr>
          <w:rFonts w:eastAsia="Calibri"/>
          <w:b/>
          <w:bCs/>
          <w:color w:val="1F3864"/>
          <w:sz w:val="21"/>
          <w:szCs w:val="21"/>
        </w:rPr>
        <w:t>Minimum acceptable hours</w:t>
      </w:r>
    </w:p>
    <w:p w:rsidR="0062561E" w:rsidRDefault="00000000" w:rsidP="00BE636E">
      <w:pPr>
        <w:spacing w:before="40" w:after="40"/>
        <w:jc w:val="both"/>
      </w:pPr>
      <w:r>
        <w:rPr>
          <w:rFonts w:eastAsia="Calibri"/>
          <w:color w:val="000000"/>
          <w:sz w:val="19"/>
          <w:szCs w:val="19"/>
        </w:rPr>
        <w:t>If the full request cannot be granted, state the smallest allocation that would still allow the core scientific objective to be met. This value is used when the panel considers partial allocations.</w:t>
      </w:r>
    </w:p>
    <w:p w:rsidR="0062561E" w:rsidRDefault="00000000">
      <w:pPr>
        <w:keepNext/>
        <w:spacing w:before="220" w:after="70"/>
      </w:pPr>
      <w:r>
        <w:rPr>
          <w:rFonts w:eastAsia="Calibri"/>
          <w:b/>
          <w:bCs/>
          <w:color w:val="1F3864"/>
          <w:sz w:val="21"/>
          <w:szCs w:val="21"/>
        </w:rPr>
        <w:t>Program Type</w:t>
      </w:r>
    </w:p>
    <w:p w:rsidR="0062561E" w:rsidRDefault="00000000">
      <w:pPr>
        <w:spacing w:before="40" w:after="40"/>
      </w:pPr>
      <w:r>
        <w:rPr>
          <w:rFonts w:eastAsia="Calibri"/>
          <w:color w:val="000000"/>
          <w:sz w:val="19"/>
          <w:szCs w:val="19"/>
        </w:rPr>
        <w:t>Indicate which of the following best describes the proposed program.</w:t>
      </w:r>
    </w:p>
    <w:p w:rsidR="0062561E" w:rsidRDefault="00000000" w:rsidP="00BE636E">
      <w:pPr>
        <w:spacing w:before="20" w:after="20"/>
        <w:ind w:left="400" w:hanging="200"/>
        <w:jc w:val="both"/>
      </w:pPr>
      <w:r>
        <w:rPr>
          <w:rFonts w:eastAsia="Calibri"/>
          <w:sz w:val="19"/>
          <w:szCs w:val="19"/>
        </w:rPr>
        <w:t>•  ToO (Target of Opportunity): observations triggered by unpredictable events, such as gamma-ray bursts, gravitational-wave counterparts, or newly discovered supernovae.</w:t>
      </w:r>
    </w:p>
    <w:p w:rsidR="0062561E" w:rsidRDefault="00000000" w:rsidP="00BE636E">
      <w:pPr>
        <w:spacing w:before="20" w:after="20"/>
        <w:ind w:left="400" w:hanging="200"/>
        <w:jc w:val="both"/>
      </w:pPr>
      <w:r>
        <w:rPr>
          <w:rFonts w:eastAsia="Calibri"/>
          <w:sz w:val="19"/>
          <w:szCs w:val="19"/>
        </w:rPr>
        <w:t>•  Target: observations of one or more pre-selected targets carried out on a planned schedule.</w:t>
      </w:r>
    </w:p>
    <w:p w:rsidR="0062561E" w:rsidRDefault="00000000" w:rsidP="007469F8">
      <w:pPr>
        <w:spacing w:before="20" w:after="120"/>
        <w:ind w:left="396" w:hanging="198"/>
        <w:jc w:val="both"/>
      </w:pPr>
      <w:r>
        <w:rPr>
          <w:rFonts w:eastAsia="Calibri"/>
          <w:sz w:val="19"/>
          <w:szCs w:val="19"/>
        </w:rPr>
        <w:t>•  Survey: systematic coverage of a wide area or a large number of tiles.</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62561E">
        <w:tblPrEx>
          <w:tblCellMar>
            <w:top w:w="0" w:type="dxa"/>
            <w:bottom w:w="0" w:type="dxa"/>
          </w:tblCellMar>
        </w:tblPrEx>
        <w:trPr>
          <w:cantSplit/>
        </w:trPr>
        <w:tc>
          <w:tcPr>
            <w:tcW w:w="0" w:type="auto"/>
            <w:shd w:val="clear" w:color="auto" w:fill="FFF2CC"/>
            <w:tcMar>
              <w:top w:w="110" w:type="dxa"/>
              <w:left w:w="150" w:type="dxa"/>
              <w:bottom w:w="110" w:type="dxa"/>
              <w:right w:w="150" w:type="dxa"/>
            </w:tcMar>
          </w:tcPr>
          <w:p w:rsidR="0062561E" w:rsidRDefault="00000000">
            <w:r>
              <w:rPr>
                <w:rFonts w:eastAsia="Calibri"/>
                <w:b/>
                <w:bCs/>
                <w:sz w:val="19"/>
                <w:szCs w:val="19"/>
              </w:rPr>
              <w:t xml:space="preserve">Note: </w:t>
            </w:r>
            <w:r>
              <w:rPr>
                <w:rFonts w:eastAsia="Calibri"/>
                <w:sz w:val="19"/>
                <w:szCs w:val="19"/>
              </w:rPr>
              <w:t>Survey proposals are carried out using 7DT's existing 7DS tiling grid (as used for RIS, WTS, and IMS) rather than a custom tiling scheme defined by the proposer. For ToO proposals, describe the trigger condition in prose within the Exposure Time Justification or the SJ text; the required response time is requested separately, in the Required Response Time field below.</w:t>
            </w:r>
          </w:p>
        </w:tc>
      </w:tr>
    </w:tbl>
    <w:p w:rsidR="0062561E" w:rsidRDefault="00000000">
      <w:pPr>
        <w:keepNext/>
        <w:spacing w:before="220" w:after="70"/>
      </w:pPr>
      <w:r>
        <w:rPr>
          <w:rFonts w:eastAsia="Calibri"/>
          <w:b/>
          <w:bCs/>
          <w:color w:val="1F3864"/>
          <w:sz w:val="21"/>
          <w:szCs w:val="21"/>
        </w:rPr>
        <w:t>Observation Mode</w:t>
      </w:r>
    </w:p>
    <w:p w:rsidR="0062561E" w:rsidRDefault="00000000">
      <w:pPr>
        <w:spacing w:before="40" w:after="40"/>
      </w:pPr>
      <w:r>
        <w:rPr>
          <w:rFonts w:eastAsia="Calibri"/>
          <w:color w:val="000000"/>
          <w:sz w:val="19"/>
          <w:szCs w:val="19"/>
        </w:rPr>
        <w:t>Indicate which 7DT observation mode(s) the program requires. If more than one mode is needed, list all of them and explain the time allocated to each in the Exposure Time Justification.</w:t>
      </w:r>
    </w:p>
    <w:p w:rsidR="0062561E" w:rsidRPr="00BE636E" w:rsidRDefault="00000000" w:rsidP="007469F8">
      <w:pPr>
        <w:spacing w:before="20" w:after="60"/>
        <w:ind w:left="396" w:hanging="198"/>
        <w:jc w:val="both"/>
        <w:rPr>
          <w:color w:val="000000" w:themeColor="text1"/>
        </w:rPr>
      </w:pPr>
      <w:r>
        <w:rPr>
          <w:rFonts w:eastAsia="Calibri"/>
          <w:sz w:val="19"/>
          <w:szCs w:val="19"/>
        </w:rPr>
        <w:t xml:space="preserve">•  Spec mode: </w:t>
      </w:r>
      <w:r w:rsidR="00BE636E" w:rsidRPr="00BE636E">
        <w:rPr>
          <w:sz w:val="19"/>
          <w:szCs w:val="19"/>
        </w:rPr>
        <w:t>all telescope units point at the same field, each through a different medium-band filter, so that a single visit yields a low-resolution spectral energy distribution of the field. This mode is optimized for rapid classification of transients. The current filter complement used in Spec mode comprises 32 filters: the medium-band set at 25 nm steps from m400 through m875 (m400, m425, m450, m475, m500, m525, m550, m575, m600, m625, m650, m675, m700, m725, m750, m775, m800, m825, m850, m875; 20 filters), together with m438, m483, m512, m534, m561, m586, m615, m640, m661, m769w, m832w, and the r broad-band filter (12 filters). The observation is carried out in sequence, with the first set of 16 filters observed first and the second set of 16 filters observed next; Spec mode is therefore not strictly simultaneous, and the total observing time for a full visit is twice the exposure time needed per filter, once for each set. For example, if the required frame time is 300 s per filter, a full Spec-mode visit takes 10 minutes (300 s for the first set of 16 filters, 300 s for the second set), before accounting for overheads. Only this default 32-filter configuration is available for this Call; requesting a custom subset of filters is not supported.</w:t>
      </w:r>
    </w:p>
    <w:p w:rsidR="0062561E" w:rsidRDefault="00000000" w:rsidP="007469F8">
      <w:pPr>
        <w:spacing w:before="20" w:after="60"/>
        <w:ind w:left="396" w:hanging="198"/>
        <w:jc w:val="both"/>
      </w:pPr>
      <w:r>
        <w:rPr>
          <w:rFonts w:eastAsia="Calibri"/>
          <w:sz w:val="19"/>
          <w:szCs w:val="19"/>
        </w:rPr>
        <w:t>•  Deep mode: all units point at the same field through the same filter (typically broad-band), combining the light-collecting power of the array to reach greater depth on a single pointing. For example, one may specify an r-band observation of a field using all 16 telescopes, equal to the light-gathering power of a 2-m aperture telescope.</w:t>
      </w:r>
    </w:p>
    <w:p w:rsidR="0062561E" w:rsidRDefault="00000000" w:rsidP="007469F8">
      <w:pPr>
        <w:spacing w:before="20" w:after="60"/>
        <w:ind w:left="396" w:hanging="198"/>
        <w:jc w:val="both"/>
      </w:pPr>
      <w:r>
        <w:rPr>
          <w:rFonts w:eastAsia="Calibri"/>
          <w:sz w:val="19"/>
          <w:szCs w:val="19"/>
        </w:rPr>
        <w:t xml:space="preserve">•  Color mode: </w:t>
      </w:r>
      <w:r w:rsidR="00BE636E" w:rsidRPr="00BE636E">
        <w:rPr>
          <w:sz w:val="19"/>
          <w:szCs w:val="19"/>
        </w:rPr>
        <w:t xml:space="preserve">units are divided across several broad-band filters (e.g., u, g, r, i, z) and simultaneously observe the same field, so that a single visit yields broad-band multi-color photometry, the broad-band counterpart to Spec mode. Typically, combinations of gr, ri, gi, and gri filters are available; specify the number of units to use for each filter when proposing. Note that g, r, and i filters are available on all units, but this is not the case for u and z, each of which is carried by only one telescope. The u and z filters also suffer from low throughput, </w:t>
      </w:r>
      <w:r w:rsidR="00BE636E">
        <w:rPr>
          <w:sz w:val="19"/>
          <w:szCs w:val="19"/>
          <w:lang w:val="en-US"/>
        </w:rPr>
        <w:t>therefore</w:t>
      </w:r>
      <w:r w:rsidR="00BE636E" w:rsidRPr="00BE636E">
        <w:rPr>
          <w:sz w:val="19"/>
          <w:szCs w:val="19"/>
        </w:rPr>
        <w:t xml:space="preserve"> we do not recommend using them in Color mode.</w:t>
      </w:r>
    </w:p>
    <w:p w:rsidR="0062561E" w:rsidRDefault="00000000" w:rsidP="00BE636E">
      <w:pPr>
        <w:spacing w:before="20" w:after="20"/>
        <w:ind w:left="400" w:hanging="200"/>
        <w:jc w:val="both"/>
      </w:pPr>
      <w:r>
        <w:rPr>
          <w:rFonts w:eastAsia="Calibri"/>
          <w:sz w:val="19"/>
          <w:szCs w:val="19"/>
        </w:rPr>
        <w:t xml:space="preserve">•  Search mode: </w:t>
      </w:r>
      <w:r w:rsidR="00BE636E" w:rsidRPr="00BE636E">
        <w:rPr>
          <w:sz w:val="19"/>
          <w:szCs w:val="19"/>
        </w:rPr>
        <w:t>each unit points at a different, adjacent field through a broad-band filter, so the array covers a much larger area of sky in a single exposure, at the cost of per-field depth. Search mode is available only with the g, r, and i filters.</w:t>
      </w:r>
    </w:p>
    <w:p w:rsidR="0062561E" w:rsidRDefault="00000000">
      <w:pPr>
        <w:keepNext/>
        <w:spacing w:before="220" w:after="70"/>
      </w:pPr>
      <w:r>
        <w:rPr>
          <w:rFonts w:eastAsia="Calibri"/>
          <w:b/>
          <w:bCs/>
          <w:color w:val="1F3864"/>
          <w:sz w:val="21"/>
          <w:szCs w:val="21"/>
        </w:rPr>
        <w:t>Proprietary Period</w:t>
      </w:r>
    </w:p>
    <w:p w:rsidR="00060564" w:rsidRDefault="00000000" w:rsidP="00060564">
      <w:pPr>
        <w:keepNext/>
        <w:spacing w:after="70"/>
        <w:rPr>
          <w:rFonts w:eastAsia="Calibri"/>
          <w:b/>
          <w:bCs/>
          <w:color w:val="1F3864"/>
          <w:sz w:val="21"/>
          <w:szCs w:val="21"/>
        </w:rPr>
      </w:pPr>
      <w:r>
        <w:rPr>
          <w:rFonts w:eastAsia="Calibri"/>
          <w:color w:val="000000"/>
          <w:sz w:val="19"/>
          <w:szCs w:val="19"/>
        </w:rPr>
        <w:t>Select the proprietary period for the data obtained under this program: no proprietary period, 12 months, or 18 months. The period is counted from the date the corresponding data products are delivered to the PI, not from the date of observation. After the proprietary period (if any) ends, the data are incorporated into the 7DS archive in accordance with the 7DS Data Policy; see the Call for Proposals, Section 9, for further detail.</w:t>
      </w:r>
      <w:r w:rsidR="00060564" w:rsidRPr="00060564">
        <w:rPr>
          <w:rFonts w:eastAsia="Calibri"/>
          <w:b/>
          <w:bCs/>
          <w:color w:val="1F3864"/>
          <w:sz w:val="21"/>
          <w:szCs w:val="21"/>
        </w:rPr>
        <w:t xml:space="preserve"> </w:t>
      </w:r>
    </w:p>
    <w:p w:rsidR="00060564" w:rsidRDefault="00060564" w:rsidP="00060564">
      <w:pPr>
        <w:keepNext/>
        <w:spacing w:before="220" w:after="70"/>
      </w:pPr>
      <w:r>
        <w:rPr>
          <w:rFonts w:eastAsia="Calibri"/>
          <w:b/>
          <w:bCs/>
          <w:color w:val="1F3864"/>
          <w:sz w:val="21"/>
          <w:szCs w:val="21"/>
        </w:rPr>
        <w:t>Scheduling Constraints</w:t>
      </w:r>
    </w:p>
    <w:p w:rsidR="00060564" w:rsidRPr="007469F8" w:rsidRDefault="00060564" w:rsidP="00060564">
      <w:pPr>
        <w:keepNext/>
        <w:spacing w:after="70"/>
        <w:rPr>
          <w:rFonts w:eastAsia="Calibri"/>
          <w:color w:val="000000"/>
          <w:sz w:val="19"/>
          <w:szCs w:val="19"/>
        </w:rPr>
      </w:pPr>
      <w:r w:rsidRPr="007469F8">
        <w:rPr>
          <w:rFonts w:eastAsia="Calibri"/>
          <w:color w:val="000000"/>
          <w:sz w:val="19"/>
          <w:szCs w:val="19"/>
        </w:rPr>
        <w:t>The three fields below address different aspects of scheduling: when the observations may take place at all (Observing Window), the lunar illumination they require (Moon Phase), and, for ToO programs, how quickly they must begin after a trigger (Required Response Time).</w:t>
      </w:r>
    </w:p>
    <w:p w:rsidR="0062561E" w:rsidRDefault="0062561E" w:rsidP="007469F8">
      <w:pPr>
        <w:spacing w:before="40" w:after="70"/>
        <w:jc w:val="both"/>
      </w:pPr>
    </w:p>
    <w:p w:rsidR="0062561E" w:rsidRDefault="00000000">
      <w:pPr>
        <w:keepNext/>
        <w:spacing w:before="220" w:after="70"/>
      </w:pPr>
      <w:r>
        <w:rPr>
          <w:rFonts w:eastAsia="Calibri"/>
          <w:b/>
          <w:bCs/>
          <w:color w:val="1F3864"/>
          <w:sz w:val="21"/>
          <w:szCs w:val="21"/>
        </w:rPr>
        <w:lastRenderedPageBreak/>
        <w:t>Observing Window</w:t>
      </w:r>
    </w:p>
    <w:p w:rsidR="0062561E" w:rsidRPr="00722A68" w:rsidRDefault="00060564" w:rsidP="00BE636E">
      <w:pPr>
        <w:spacing w:before="40" w:after="40"/>
        <w:jc w:val="both"/>
        <w:rPr>
          <w:lang w:val="en-US"/>
        </w:rPr>
      </w:pPr>
      <w:r w:rsidRPr="00060564">
        <w:rPr>
          <w:rFonts w:eastAsia="Calibri"/>
          <w:color w:val="000000"/>
          <w:sz w:val="19"/>
          <w:szCs w:val="19"/>
        </w:rPr>
        <w:t xml:space="preserve">State any constraint on the date range within which the observations must (or must not) take place, for example a target's seasonal visibility window set by its RA, coordination with another facility or event, or a hard deadline for a fading object. If the observations can be scheduled at any time the target is visible, with no additional constraint, state "None." To check a target's visibility over the course of the observing period, use the </w:t>
      </w:r>
      <w:r>
        <w:rPr>
          <w:rFonts w:eastAsia="Calibri"/>
          <w:color w:val="000000"/>
          <w:sz w:val="19"/>
          <w:szCs w:val="19"/>
          <w:lang w:val="en-US"/>
        </w:rPr>
        <w:t>7DT Visibility</w:t>
      </w:r>
      <w:r w:rsidRPr="00060564">
        <w:rPr>
          <w:rFonts w:eastAsia="Calibri"/>
          <w:color w:val="000000"/>
          <w:sz w:val="19"/>
          <w:szCs w:val="19"/>
        </w:rPr>
        <w:t xml:space="preserve"> at </w:t>
      </w:r>
      <w:hyperlink r:id="rId8" w:history="1">
        <w:r w:rsidR="00722A68">
          <w:rPr>
            <w:rFonts w:eastAsia="Calibri"/>
            <w:color w:val="1155CC"/>
            <w:sz w:val="19"/>
            <w:szCs w:val="19"/>
            <w:u w:val="single"/>
          </w:rPr>
          <w:t>http://7ds.snu.ac.kr/visibility</w:t>
        </w:r>
      </w:hyperlink>
      <w:r w:rsidR="00722A68" w:rsidRPr="00722A68">
        <w:rPr>
          <w:color w:val="000000" w:themeColor="text1"/>
          <w:sz w:val="19"/>
          <w:szCs w:val="19"/>
          <w:lang w:val="en-US"/>
        </w:rPr>
        <w:t>.</w:t>
      </w:r>
    </w:p>
    <w:p w:rsidR="0062561E" w:rsidRDefault="00000000">
      <w:pPr>
        <w:keepNext/>
        <w:spacing w:before="220" w:after="70"/>
      </w:pPr>
      <w:r>
        <w:rPr>
          <w:rFonts w:eastAsia="Calibri"/>
          <w:b/>
          <w:bCs/>
          <w:color w:val="1F3864"/>
          <w:sz w:val="21"/>
          <w:szCs w:val="21"/>
        </w:rPr>
        <w:t>Moon Phase</w:t>
      </w:r>
    </w:p>
    <w:p w:rsidR="0062561E" w:rsidRDefault="00000000" w:rsidP="00E858DD">
      <w:pPr>
        <w:spacing w:before="40" w:after="40"/>
        <w:jc w:val="both"/>
      </w:pPr>
      <w:r>
        <w:rPr>
          <w:rFonts w:eastAsia="Calibri"/>
          <w:color w:val="000000"/>
          <w:sz w:val="19"/>
          <w:szCs w:val="19"/>
        </w:rPr>
        <w:t>Indicate the lunar illumination condition(s) under which the observation should be carried out: Dark, Gray, or Bright. Select more than one if the program can tolerate a range of conditions.</w:t>
      </w:r>
    </w:p>
    <w:p w:rsidR="0062561E" w:rsidRDefault="00000000">
      <w:pPr>
        <w:keepNext/>
        <w:spacing w:before="220" w:after="70"/>
      </w:pPr>
      <w:r>
        <w:rPr>
          <w:rFonts w:eastAsia="Calibri"/>
          <w:b/>
          <w:bCs/>
          <w:color w:val="1F3864"/>
          <w:sz w:val="21"/>
          <w:szCs w:val="21"/>
        </w:rPr>
        <w:t>Required Response Time</w:t>
      </w:r>
    </w:p>
    <w:p w:rsidR="0062561E" w:rsidRDefault="00000000" w:rsidP="00E858DD">
      <w:pPr>
        <w:spacing w:before="40" w:after="40"/>
        <w:jc w:val="both"/>
      </w:pPr>
      <w:r>
        <w:rPr>
          <w:rFonts w:eastAsia="Calibri"/>
          <w:color w:val="000000"/>
          <w:sz w:val="19"/>
          <w:szCs w:val="19"/>
        </w:rPr>
        <w:t>For ToO programs only, state the maximum acceptable delay between a trigger and the start of observation (e.g., "within 1 hour," "within 24 hours"). Leave blank for Target and Survey programs, whose timing is instead governed by the Scheduling requirements described in the Exposure Time Justification and Target Coordinates below.</w:t>
      </w:r>
    </w:p>
    <w:p w:rsidR="0062561E" w:rsidRDefault="00000000">
      <w:pPr>
        <w:keepNext/>
        <w:spacing w:before="220" w:after="70"/>
      </w:pPr>
      <w:r>
        <w:rPr>
          <w:rFonts w:eastAsia="Calibri"/>
          <w:b/>
          <w:bCs/>
          <w:color w:val="1F3864"/>
          <w:sz w:val="21"/>
          <w:szCs w:val="21"/>
        </w:rPr>
        <w:t>Exposure Time Justification</w:t>
      </w:r>
    </w:p>
    <w:p w:rsidR="0062561E" w:rsidRDefault="00000000">
      <w:pPr>
        <w:spacing w:before="40" w:after="40"/>
      </w:pPr>
      <w:r>
        <w:rPr>
          <w:rFonts w:eastAsia="Calibri"/>
          <w:color w:val="000000"/>
          <w:sz w:val="19"/>
          <w:szCs w:val="19"/>
        </w:rPr>
        <w:t>Provide the quantitative basis for the requested exposure time. Include:</w:t>
      </w:r>
    </w:p>
    <w:p w:rsidR="0062561E" w:rsidRDefault="00000000" w:rsidP="00E858DD">
      <w:pPr>
        <w:spacing w:before="20" w:after="20"/>
        <w:ind w:left="400" w:hanging="200"/>
        <w:jc w:val="both"/>
      </w:pPr>
      <w:r>
        <w:rPr>
          <w:rFonts w:eastAsia="Calibri"/>
          <w:sz w:val="19"/>
          <w:szCs w:val="19"/>
        </w:rPr>
        <w:t>•  The exposure time required per target (or per tile), and how it was derived</w:t>
      </w:r>
    </w:p>
    <w:p w:rsidR="0062561E" w:rsidRPr="00060564" w:rsidRDefault="00000000" w:rsidP="00E858DD">
      <w:pPr>
        <w:spacing w:before="20" w:after="20"/>
        <w:ind w:left="400" w:hanging="200"/>
        <w:jc w:val="both"/>
        <w:rPr>
          <w:lang w:val="en-US"/>
        </w:rPr>
      </w:pPr>
      <w:r>
        <w:rPr>
          <w:rFonts w:eastAsia="Calibri"/>
          <w:sz w:val="19"/>
          <w:szCs w:val="19"/>
        </w:rPr>
        <w:t xml:space="preserve">•  The target signal-to-noise ratio (SNR) and </w:t>
      </w:r>
      <w:r w:rsidR="00060564">
        <w:rPr>
          <w:rFonts w:eastAsia="Calibri"/>
          <w:sz w:val="19"/>
          <w:szCs w:val="19"/>
          <w:lang w:val="en-US"/>
        </w:rPr>
        <w:t>how it was calculated</w:t>
      </w:r>
    </w:p>
    <w:p w:rsidR="0062561E" w:rsidRDefault="00000000" w:rsidP="00E858DD">
      <w:pPr>
        <w:spacing w:before="20" w:after="20"/>
        <w:ind w:left="400" w:hanging="200"/>
        <w:jc w:val="both"/>
      </w:pPr>
      <w:r>
        <w:rPr>
          <w:rFonts w:eastAsia="Calibri"/>
          <w:sz w:val="19"/>
          <w:szCs w:val="19"/>
        </w:rPr>
        <w:t>•  The filters to be used and the exposure time allocated to each</w:t>
      </w:r>
    </w:p>
    <w:p w:rsidR="0062561E" w:rsidRDefault="00000000" w:rsidP="00E858DD">
      <w:pPr>
        <w:spacing w:before="20" w:after="20"/>
        <w:ind w:left="400" w:hanging="200"/>
        <w:jc w:val="both"/>
        <w:rPr>
          <w:rFonts w:eastAsia="Calibri"/>
          <w:sz w:val="19"/>
          <w:szCs w:val="19"/>
        </w:rPr>
      </w:pPr>
      <w:r>
        <w:rPr>
          <w:rFonts w:eastAsia="Calibri"/>
          <w:sz w:val="19"/>
          <w:szCs w:val="19"/>
        </w:rPr>
        <w:t>•  The arithmetic — number of targets/tiles × exposure time × number of repeats (epochs), etc. — that leads to the total requested hours</w:t>
      </w:r>
    </w:p>
    <w:p w:rsidR="00060564" w:rsidRDefault="00060564" w:rsidP="00060564">
      <w:pPr>
        <w:spacing w:before="40" w:after="120"/>
        <w:jc w:val="both"/>
      </w:pPr>
      <w:r w:rsidRPr="00060564">
        <w:t xml:space="preserve">We also provide </w:t>
      </w:r>
      <w:r w:rsidR="00E974DF">
        <w:rPr>
          <w:lang w:val="en-US"/>
        </w:rPr>
        <w:t>the 7DT Exposure Time Calculator</w:t>
      </w:r>
      <w:r w:rsidRPr="00060564">
        <w:t xml:space="preserve"> at </w:t>
      </w:r>
      <w:hyperlink r:id="rId9" w:history="1">
        <w:r w:rsidR="00722A68">
          <w:rPr>
            <w:rFonts w:eastAsia="Calibri"/>
            <w:color w:val="1155CC"/>
            <w:sz w:val="19"/>
            <w:szCs w:val="19"/>
            <w:u w:val="single"/>
          </w:rPr>
          <w:t>http://7ds.snu.ac.kr/exptime</w:t>
        </w:r>
      </w:hyperlink>
      <w:r w:rsidR="00722A68" w:rsidRPr="00722A68">
        <w:rPr>
          <w:color w:val="1155CC"/>
          <w:sz w:val="19"/>
          <w:szCs w:val="19"/>
          <w:lang w:val="en-US"/>
        </w:rPr>
        <w:t xml:space="preserve"> </w:t>
      </w:r>
      <w:r w:rsidRPr="00060564">
        <w:t>built empirically from accumulated 7DS data, that computes the exposure time needed to reach a target SNR or, conversely, the SNR expected for a given exposure time. Use it as the basis for this section.</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62561E">
        <w:tblPrEx>
          <w:tblCellMar>
            <w:top w:w="0" w:type="dxa"/>
            <w:bottom w:w="0" w:type="dxa"/>
          </w:tblCellMar>
        </w:tblPrEx>
        <w:trPr>
          <w:cantSplit/>
        </w:trPr>
        <w:tc>
          <w:tcPr>
            <w:tcW w:w="0" w:type="auto"/>
            <w:shd w:val="clear" w:color="auto" w:fill="FFF2CC"/>
            <w:tcMar>
              <w:top w:w="110" w:type="dxa"/>
              <w:left w:w="150" w:type="dxa"/>
              <w:bottom w:w="110" w:type="dxa"/>
              <w:right w:w="150" w:type="dxa"/>
            </w:tcMar>
          </w:tcPr>
          <w:p w:rsidR="0062561E" w:rsidRDefault="00000000" w:rsidP="00E858DD">
            <w:pPr>
              <w:jc w:val="both"/>
            </w:pPr>
            <w:r>
              <w:rPr>
                <w:rFonts w:eastAsia="Calibri"/>
                <w:b/>
                <w:bCs/>
                <w:sz w:val="19"/>
                <w:szCs w:val="19"/>
              </w:rPr>
              <w:t xml:space="preserve">Note: </w:t>
            </w:r>
            <w:r w:rsidR="00E858DD" w:rsidRPr="00E858DD">
              <w:rPr>
                <w:sz w:val="19"/>
                <w:szCs w:val="19"/>
              </w:rPr>
              <w:t>For medium-band observations of faint targets, and for most ordinary observations, we recommend a single frame of 100</w:t>
            </w:r>
            <w:r w:rsidR="00E858DD">
              <w:rPr>
                <w:sz w:val="19"/>
                <w:szCs w:val="19"/>
              </w:rPr>
              <w:t xml:space="preserve"> - </w:t>
            </w:r>
            <w:r w:rsidR="00E858DD" w:rsidRPr="00E858DD">
              <w:rPr>
                <w:sz w:val="19"/>
                <w:szCs w:val="19"/>
              </w:rPr>
              <w:t>180 s: at least 100 s to reach background-limited conditions, and no more than 180 s, a tracking-related technical limit (longer frames risk elongated PSFs). To reach greater depth, stack multiple frames taken at this exposure time rather than lengthening a single frame. Shorter exposures may be used for bright targets, at the expense of increased overhead; using a frame time other than the standard 100 s also adds overhead, since additional calibration frames are required. The standard single-frame exposure time used for Survey-mode observations is 100 s.</w:t>
            </w:r>
          </w:p>
        </w:tc>
      </w:tr>
    </w:tbl>
    <w:p w:rsidR="0062561E" w:rsidRDefault="00000000">
      <w:pPr>
        <w:keepNext/>
        <w:spacing w:before="220" w:after="70"/>
      </w:pPr>
      <w:r>
        <w:rPr>
          <w:rFonts w:eastAsia="Calibri"/>
          <w:b/>
          <w:bCs/>
          <w:color w:val="1F3864"/>
          <w:sz w:val="21"/>
          <w:szCs w:val="21"/>
        </w:rPr>
        <w:t>Target Coordinates</w:t>
      </w:r>
    </w:p>
    <w:p w:rsidR="0062561E" w:rsidRDefault="00000000" w:rsidP="00E858DD">
      <w:pPr>
        <w:spacing w:before="40" w:after="40"/>
        <w:jc w:val="both"/>
      </w:pPr>
      <w:r>
        <w:rPr>
          <w:rFonts w:eastAsia="Calibri"/>
          <w:color w:val="000000"/>
          <w:sz w:val="19"/>
          <w:szCs w:val="19"/>
        </w:rPr>
        <w:t>For Target-type programs, list the coordinates (RA/Dec, J2000) of every requested target — a representative subset is not sufficient, since each target's visibility and priority must be evaluated individually.</w:t>
      </w:r>
    </w:p>
    <w:p w:rsidR="0062561E" w:rsidRDefault="00000000" w:rsidP="00E858DD">
      <w:pPr>
        <w:spacing w:before="40" w:after="40"/>
        <w:jc w:val="both"/>
      </w:pPr>
      <w:r>
        <w:rPr>
          <w:rFonts w:eastAsia="Calibri"/>
          <w:color w:val="000000"/>
          <w:sz w:val="19"/>
          <w:szCs w:val="19"/>
        </w:rPr>
        <w:t>For Survey-type programs, list the approximate coordinate range (e.g., RA/Dec bounds) and the area (in deg²) of the requested region, rather than an exhaustive tile list.</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50"/>
      </w:tblGrid>
      <w:tr w:rsidR="0062561E">
        <w:tblPrEx>
          <w:tblCellMar>
            <w:top w:w="0" w:type="dxa"/>
            <w:bottom w:w="0" w:type="dxa"/>
          </w:tblCellMar>
        </w:tblPrEx>
        <w:trPr>
          <w:cantSplit/>
        </w:trPr>
        <w:tc>
          <w:tcPr>
            <w:tcW w:w="0" w:type="auto"/>
            <w:shd w:val="clear" w:color="auto" w:fill="FFF2CC"/>
            <w:tcMar>
              <w:top w:w="110" w:type="dxa"/>
              <w:left w:w="150" w:type="dxa"/>
              <w:bottom w:w="110" w:type="dxa"/>
              <w:right w:w="150" w:type="dxa"/>
            </w:tcMar>
          </w:tcPr>
          <w:p w:rsidR="0062561E" w:rsidRDefault="00000000" w:rsidP="00E858DD">
            <w:pPr>
              <w:jc w:val="both"/>
            </w:pPr>
            <w:r>
              <w:rPr>
                <w:rFonts w:eastAsia="Calibri"/>
                <w:b/>
                <w:bCs/>
                <w:sz w:val="19"/>
                <w:szCs w:val="19"/>
              </w:rPr>
              <w:t xml:space="preserve">Note: </w:t>
            </w:r>
            <w:r>
              <w:rPr>
                <w:rFonts w:eastAsia="Calibri"/>
                <w:sz w:val="19"/>
                <w:szCs w:val="19"/>
              </w:rPr>
              <w:t xml:space="preserve">Because 7DT survey observations follow the pre-defined 7DS tiling grid, adjacent tiles overlap by design. As a result, the number of pointings — and hence the effective observing time — needed to cover a requested area can differ from a simple area-based estimate. Keep this in mind when planning your request. You can browse the current tiling grid using the 7DS </w:t>
            </w:r>
            <w:r w:rsidR="00E974DF">
              <w:rPr>
                <w:rFonts w:eastAsia="Calibri"/>
                <w:sz w:val="19"/>
                <w:szCs w:val="19"/>
                <w:lang w:val="en-US"/>
              </w:rPr>
              <w:t>T</w:t>
            </w:r>
            <w:r>
              <w:rPr>
                <w:rFonts w:eastAsia="Calibri"/>
                <w:sz w:val="19"/>
                <w:szCs w:val="19"/>
              </w:rPr>
              <w:t xml:space="preserve">ile </w:t>
            </w:r>
            <w:r w:rsidR="00E974DF">
              <w:rPr>
                <w:rFonts w:eastAsia="Calibri"/>
                <w:sz w:val="19"/>
                <w:szCs w:val="19"/>
                <w:lang w:val="en-US"/>
              </w:rPr>
              <w:t>Matcher</w:t>
            </w:r>
            <w:r>
              <w:rPr>
                <w:rFonts w:eastAsia="Calibri"/>
                <w:sz w:val="19"/>
                <w:szCs w:val="19"/>
              </w:rPr>
              <w:t xml:space="preserve"> at </w:t>
            </w:r>
            <w:hyperlink r:id="rId10" w:history="1">
              <w:r w:rsidR="00722A68">
                <w:rPr>
                  <w:rFonts w:eastAsia="Calibri"/>
                  <w:color w:val="1155CC"/>
                  <w:sz w:val="19"/>
                  <w:szCs w:val="19"/>
                  <w:u w:val="single"/>
                </w:rPr>
                <w:t>http://7ds.snu.ac.kr/tile</w:t>
              </w:r>
            </w:hyperlink>
            <w:r>
              <w:rPr>
                <w:rFonts w:eastAsia="Calibri"/>
                <w:sz w:val="19"/>
                <w:szCs w:val="19"/>
              </w:rPr>
              <w:t xml:space="preserve"> to see how tiles cover a given area. Which tiles are used, and how they are combined to cover your requested area, will be specified as part of the Phase 2 proposal, submitted after Phase 1 review.</w:t>
            </w:r>
          </w:p>
        </w:tc>
      </w:tr>
    </w:tbl>
    <w:p w:rsidR="0062561E" w:rsidRDefault="00000000">
      <w:pPr>
        <w:keepNext/>
        <w:spacing w:before="220" w:after="70"/>
      </w:pPr>
      <w:r>
        <w:rPr>
          <w:rFonts w:eastAsia="Calibri"/>
          <w:b/>
          <w:bCs/>
          <w:color w:val="1F3864"/>
          <w:sz w:val="21"/>
          <w:szCs w:val="21"/>
        </w:rPr>
        <w:t>Duplication with Existing 7DS Data</w:t>
      </w:r>
    </w:p>
    <w:p w:rsidR="0062561E" w:rsidRDefault="00000000" w:rsidP="00E858DD">
      <w:pPr>
        <w:spacing w:before="40" w:after="40"/>
        <w:jc w:val="both"/>
      </w:pPr>
      <w:r>
        <w:rPr>
          <w:rFonts w:eastAsia="Calibri"/>
          <w:color w:val="000000"/>
          <w:sz w:val="19"/>
          <w:szCs w:val="19"/>
        </w:rPr>
        <w:t>State whether the requested targets or sky area overlap with data already collected under the three existing 7DS surveys — the Reference Image Survey (RIS), the Intensive Monitoring Survey (IMS), and the Wide-field Time-domain Survey (WTS). (Overlap with facilities or archives outside 7DT/7DS need not be reported here.)</w:t>
      </w:r>
    </w:p>
    <w:p w:rsidR="0062561E" w:rsidRDefault="00000000" w:rsidP="00E858DD">
      <w:pPr>
        <w:spacing w:before="40" w:after="40"/>
        <w:jc w:val="both"/>
        <w:rPr>
          <w:color w:val="000000"/>
          <w:sz w:val="19"/>
          <w:szCs w:val="19"/>
        </w:rPr>
      </w:pPr>
      <w:r>
        <w:rPr>
          <w:rFonts w:eastAsia="Calibri"/>
          <w:color w:val="000000"/>
          <w:sz w:val="19"/>
          <w:szCs w:val="19"/>
        </w:rPr>
        <w:t>If there is no such overlap, simply state "None." If overlapping 7DS data do exist, justify why they are insufficient for your science goals — for example, because your program requires greater depth, a different cadence, or a different filter set than the existing survey data provide. This justification may run to several sentences where needed.</w:t>
      </w:r>
    </w:p>
    <w:p w:rsidR="00E858DD" w:rsidRPr="00E858DD" w:rsidRDefault="00E858DD" w:rsidP="00E858DD">
      <w:pPr>
        <w:keepNext/>
        <w:spacing w:before="220" w:after="70"/>
        <w:rPr>
          <w:lang w:val="en-US"/>
        </w:rPr>
      </w:pPr>
      <w:r>
        <w:rPr>
          <w:rFonts w:eastAsia="Calibri"/>
          <w:b/>
          <w:bCs/>
          <w:color w:val="1F3864"/>
          <w:sz w:val="21"/>
          <w:szCs w:val="21"/>
          <w:lang w:val="en-US"/>
        </w:rPr>
        <w:t>Special Requests</w:t>
      </w:r>
    </w:p>
    <w:p w:rsidR="00E858DD" w:rsidRPr="00E858DD" w:rsidRDefault="00E858DD" w:rsidP="00E858DD">
      <w:pPr>
        <w:spacing w:before="40" w:after="40"/>
        <w:jc w:val="both"/>
      </w:pPr>
      <w:r>
        <w:rPr>
          <w:rFonts w:eastAsia="Calibri"/>
          <w:color w:val="000000"/>
          <w:sz w:val="19"/>
          <w:szCs w:val="19"/>
        </w:rPr>
        <w:t xml:space="preserve">State </w:t>
      </w:r>
      <w:r w:rsidRPr="00E858DD">
        <w:rPr>
          <w:rFonts w:eastAsia="Calibri"/>
          <w:color w:val="000000"/>
          <w:sz w:val="19"/>
          <w:szCs w:val="19"/>
        </w:rPr>
        <w:t>any request that falls outside our default observing configuration or standard policies, for example</w:t>
      </w:r>
      <w:r>
        <w:rPr>
          <w:rFonts w:eastAsia="Calibri"/>
          <w:color w:val="000000"/>
          <w:sz w:val="19"/>
          <w:szCs w:val="19"/>
        </w:rPr>
        <w:t>,</w:t>
      </w:r>
      <w:r w:rsidRPr="00E858DD">
        <w:rPr>
          <w:rFonts w:eastAsia="Calibri"/>
          <w:color w:val="000000"/>
          <w:sz w:val="19"/>
          <w:szCs w:val="19"/>
        </w:rPr>
        <w:t xml:space="preserve"> a non-standard detector gain setting, or a scheduling constraint not covered elsewhere in this form. Briefly justify why the default configuration </w:t>
      </w:r>
      <w:r w:rsidRPr="00E858DD">
        <w:rPr>
          <w:rFonts w:eastAsia="Calibri"/>
          <w:color w:val="000000"/>
          <w:sz w:val="19"/>
          <w:szCs w:val="19"/>
        </w:rPr>
        <w:lastRenderedPageBreak/>
        <w:t xml:space="preserve">does not meet your needs. Leave this section blank if no such request applies. The </w:t>
      </w:r>
      <w:r w:rsidR="00C726F3">
        <w:rPr>
          <w:rFonts w:eastAsia="Calibri"/>
          <w:color w:val="000000"/>
          <w:sz w:val="19"/>
          <w:szCs w:val="19"/>
        </w:rPr>
        <w:t>7</w:t>
      </w:r>
      <w:r w:rsidR="00C726F3">
        <w:rPr>
          <w:rFonts w:eastAsia="Calibri"/>
          <w:color w:val="000000"/>
          <w:sz w:val="19"/>
          <w:szCs w:val="19"/>
          <w:lang w:val="en-US"/>
        </w:rPr>
        <w:t>DS Operating Committee</w:t>
      </w:r>
      <w:r w:rsidRPr="00E858DD">
        <w:rPr>
          <w:rFonts w:eastAsia="Calibri"/>
          <w:color w:val="000000"/>
          <w:sz w:val="19"/>
          <w:szCs w:val="19"/>
        </w:rPr>
        <w:t xml:space="preserve"> considers special requests on a best-effort basis; accommodation is not guaranteed and may affect scheduling.</w:t>
      </w:r>
    </w:p>
    <w:p w:rsidR="00E858DD" w:rsidRPr="00C726F3" w:rsidRDefault="00E858DD" w:rsidP="00C726F3">
      <w:pPr>
        <w:spacing w:before="40" w:after="40"/>
        <w:jc w:val="both"/>
        <w:rPr>
          <w:rFonts w:eastAsia="Calibri" w:hint="eastAsia"/>
          <w:color w:val="000000"/>
          <w:sz w:val="19"/>
          <w:szCs w:val="19"/>
          <w:lang w:val="en-US"/>
        </w:rPr>
      </w:pPr>
    </w:p>
    <w:sectPr w:rsidR="00E858DD" w:rsidRPr="00C726F3">
      <w:headerReference w:type="default" r:id="rId11"/>
      <w:footerReference w:type="default" r:id="rId12"/>
      <w:pgSz w:w="11906" w:h="16838"/>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72A2D" w:rsidRDefault="00772A2D">
      <w:r>
        <w:separator/>
      </w:r>
    </w:p>
  </w:endnote>
  <w:endnote w:type="continuationSeparator" w:id="0">
    <w:p w:rsidR="00772A2D" w:rsidRDefault="00772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2561E" w:rsidRDefault="00000000">
    <w:pPr>
      <w:jc w:val="center"/>
    </w:pPr>
    <w:r>
      <w:rPr>
        <w:rFonts w:eastAsia="Calibri"/>
        <w:color w:val="999999"/>
        <w:sz w:val="16"/>
        <w:szCs w:val="16"/>
      </w:rPr>
      <w:t xml:space="preserve">Page </w:t>
    </w:r>
    <w:r>
      <w:rPr>
        <w:color w:val="999999"/>
        <w:sz w:val="16"/>
        <w:szCs w:val="16"/>
      </w:rPr>
      <w:fldChar w:fldCharType="begin"/>
    </w:r>
    <w:r>
      <w:rPr>
        <w:rFonts w:eastAsia="Calibri"/>
        <w:color w:val="999999"/>
        <w:sz w:val="16"/>
        <w:szCs w:val="16"/>
      </w:rPr>
      <w:instrText>PAGE</w:instrText>
    </w:r>
    <w:r>
      <w:rPr>
        <w:color w:val="999999"/>
        <w:sz w:val="16"/>
        <w:szCs w:val="16"/>
      </w:rPr>
      <w:fldChar w:fldCharType="separate"/>
    </w:r>
    <w:r w:rsidR="00BE636E">
      <w:rPr>
        <w:noProof/>
        <w:color w:val="999999"/>
        <w:sz w:val="16"/>
        <w:szCs w:val="16"/>
      </w:rPr>
      <w:t>1</w:t>
    </w:r>
    <w:r>
      <w:rPr>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72A2D" w:rsidRDefault="00772A2D">
      <w:r>
        <w:separator/>
      </w:r>
    </w:p>
  </w:footnote>
  <w:footnote w:type="continuationSeparator" w:id="0">
    <w:p w:rsidR="00772A2D" w:rsidRDefault="00772A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2561E" w:rsidRDefault="00000000">
    <w:pPr>
      <w:jc w:val="right"/>
    </w:pPr>
    <w:r>
      <w:rPr>
        <w:rFonts w:eastAsia="Calibri"/>
        <w:color w:val="999999"/>
        <w:sz w:val="16"/>
        <w:szCs w:val="16"/>
      </w:rPr>
      <w:t>7DT/7DS Open Time — Phase 1 Proposal Instructions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856CA5"/>
    <w:multiLevelType w:val="hybridMultilevel"/>
    <w:tmpl w:val="A650D524"/>
    <w:lvl w:ilvl="0" w:tplc="7442AC62">
      <w:start w:val="1"/>
      <w:numFmt w:val="bullet"/>
      <w:lvlText w:val="●"/>
      <w:lvlJc w:val="left"/>
      <w:pPr>
        <w:ind w:left="720" w:hanging="360"/>
      </w:pPr>
    </w:lvl>
    <w:lvl w:ilvl="1" w:tplc="D194D884">
      <w:start w:val="1"/>
      <w:numFmt w:val="bullet"/>
      <w:lvlText w:val="○"/>
      <w:lvlJc w:val="left"/>
      <w:pPr>
        <w:ind w:left="1440" w:hanging="360"/>
      </w:pPr>
    </w:lvl>
    <w:lvl w:ilvl="2" w:tplc="BDA86F82">
      <w:start w:val="1"/>
      <w:numFmt w:val="bullet"/>
      <w:lvlText w:val="■"/>
      <w:lvlJc w:val="left"/>
      <w:pPr>
        <w:ind w:left="2160" w:hanging="360"/>
      </w:pPr>
    </w:lvl>
    <w:lvl w:ilvl="3" w:tplc="5172EF90">
      <w:start w:val="1"/>
      <w:numFmt w:val="bullet"/>
      <w:lvlText w:val="●"/>
      <w:lvlJc w:val="left"/>
      <w:pPr>
        <w:ind w:left="2880" w:hanging="360"/>
      </w:pPr>
    </w:lvl>
    <w:lvl w:ilvl="4" w:tplc="F9722E2E">
      <w:start w:val="1"/>
      <w:numFmt w:val="bullet"/>
      <w:lvlText w:val="○"/>
      <w:lvlJc w:val="left"/>
      <w:pPr>
        <w:ind w:left="3600" w:hanging="360"/>
      </w:pPr>
    </w:lvl>
    <w:lvl w:ilvl="5" w:tplc="0DE2EF30">
      <w:start w:val="1"/>
      <w:numFmt w:val="bullet"/>
      <w:lvlText w:val="■"/>
      <w:lvlJc w:val="left"/>
      <w:pPr>
        <w:ind w:left="4320" w:hanging="360"/>
      </w:pPr>
    </w:lvl>
    <w:lvl w:ilvl="6" w:tplc="99E21D4E">
      <w:start w:val="1"/>
      <w:numFmt w:val="bullet"/>
      <w:lvlText w:val="●"/>
      <w:lvlJc w:val="left"/>
      <w:pPr>
        <w:ind w:left="5040" w:hanging="360"/>
      </w:pPr>
    </w:lvl>
    <w:lvl w:ilvl="7" w:tplc="7F2070F2">
      <w:start w:val="1"/>
      <w:numFmt w:val="bullet"/>
      <w:lvlText w:val="●"/>
      <w:lvlJc w:val="left"/>
      <w:pPr>
        <w:ind w:left="5760" w:hanging="360"/>
      </w:pPr>
    </w:lvl>
    <w:lvl w:ilvl="8" w:tplc="4E6E2D24">
      <w:start w:val="1"/>
      <w:numFmt w:val="bullet"/>
      <w:lvlText w:val="●"/>
      <w:lvlJc w:val="left"/>
      <w:pPr>
        <w:ind w:left="6480" w:hanging="360"/>
      </w:pPr>
    </w:lvl>
  </w:abstractNum>
  <w:num w:numId="1" w16cid:durableId="188648226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61E"/>
    <w:rsid w:val="00060564"/>
    <w:rsid w:val="0062561E"/>
    <w:rsid w:val="00722A68"/>
    <w:rsid w:val="007469F8"/>
    <w:rsid w:val="00772A2D"/>
    <w:rsid w:val="00BD79BD"/>
    <w:rsid w:val="00BE636E"/>
    <w:rsid w:val="00C726F3"/>
    <w:rsid w:val="00E858DD"/>
    <w:rsid w:val="00E974DF"/>
  </w:rsids>
  <m:mathPr>
    <m:mathFont m:val="Cambria Math"/>
    <m:brkBin m:val="before"/>
    <m:brkBinSub m:val="--"/>
    <m:smallFrac m:val="0"/>
    <m:dispDef/>
    <m:lMargin m:val="0"/>
    <m:rMargin m:val="0"/>
    <m:defJc m:val="centerGroup"/>
    <m:wrapIndent m:val="1440"/>
    <m:intLim m:val="subSup"/>
    <m:naryLim m:val="undOvr"/>
  </m:mathPr>
  <w:themeFontLang w:val="en-KR"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63DCE642"/>
  <w15:docId w15:val="{8B15C2D0-398F-8349-BB9B-A9929EE7B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EastAsia" w:hAnsi="Calibri" w:cs="Calibri"/>
        <w:lang w:val="en-KR"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349958">
      <w:bodyDiv w:val="1"/>
      <w:marLeft w:val="0"/>
      <w:marRight w:val="0"/>
      <w:marTop w:val="0"/>
      <w:marBottom w:val="0"/>
      <w:divBdr>
        <w:top w:val="none" w:sz="0" w:space="0" w:color="auto"/>
        <w:left w:val="none" w:sz="0" w:space="0" w:color="auto"/>
        <w:bottom w:val="none" w:sz="0" w:space="0" w:color="auto"/>
        <w:right w:val="none" w:sz="0" w:space="0" w:color="auto"/>
      </w:divBdr>
      <w:divsChild>
        <w:div w:id="10232277">
          <w:marLeft w:val="0"/>
          <w:marRight w:val="0"/>
          <w:marTop w:val="0"/>
          <w:marBottom w:val="0"/>
          <w:divBdr>
            <w:top w:val="none" w:sz="0" w:space="0" w:color="auto"/>
            <w:left w:val="none" w:sz="0" w:space="0" w:color="auto"/>
            <w:bottom w:val="none" w:sz="0" w:space="0" w:color="auto"/>
            <w:right w:val="none" w:sz="0" w:space="0" w:color="auto"/>
          </w:divBdr>
          <w:divsChild>
            <w:div w:id="60835118">
              <w:marLeft w:val="0"/>
              <w:marRight w:val="0"/>
              <w:marTop w:val="0"/>
              <w:marBottom w:val="0"/>
              <w:divBdr>
                <w:top w:val="none" w:sz="0" w:space="0" w:color="auto"/>
                <w:left w:val="none" w:sz="0" w:space="0" w:color="auto"/>
                <w:bottom w:val="none" w:sz="0" w:space="0" w:color="auto"/>
                <w:right w:val="none" w:sz="0" w:space="0" w:color="auto"/>
              </w:divBdr>
              <w:divsChild>
                <w:div w:id="892548003">
                  <w:marLeft w:val="0"/>
                  <w:marRight w:val="0"/>
                  <w:marTop w:val="0"/>
                  <w:marBottom w:val="0"/>
                  <w:divBdr>
                    <w:top w:val="none" w:sz="0" w:space="0" w:color="auto"/>
                    <w:left w:val="none" w:sz="0" w:space="0" w:color="auto"/>
                    <w:bottom w:val="none" w:sz="0" w:space="0" w:color="auto"/>
                    <w:right w:val="none" w:sz="0" w:space="0" w:color="auto"/>
                  </w:divBdr>
                  <w:divsChild>
                    <w:div w:id="355156010">
                      <w:marLeft w:val="0"/>
                      <w:marRight w:val="0"/>
                      <w:marTop w:val="0"/>
                      <w:marBottom w:val="0"/>
                      <w:divBdr>
                        <w:top w:val="none" w:sz="0" w:space="0" w:color="auto"/>
                        <w:left w:val="none" w:sz="0" w:space="0" w:color="auto"/>
                        <w:bottom w:val="none" w:sz="0" w:space="0" w:color="auto"/>
                        <w:right w:val="none" w:sz="0" w:space="0" w:color="auto"/>
                      </w:divBdr>
                      <w:divsChild>
                        <w:div w:id="1057973629">
                          <w:marLeft w:val="0"/>
                          <w:marRight w:val="0"/>
                          <w:marTop w:val="0"/>
                          <w:marBottom w:val="0"/>
                          <w:divBdr>
                            <w:top w:val="none" w:sz="0" w:space="0" w:color="auto"/>
                            <w:left w:val="none" w:sz="0" w:space="0" w:color="auto"/>
                            <w:bottom w:val="none" w:sz="0" w:space="0" w:color="auto"/>
                            <w:right w:val="none" w:sz="0" w:space="0" w:color="auto"/>
                          </w:divBdr>
                          <w:divsChild>
                            <w:div w:id="723674251">
                              <w:marLeft w:val="0"/>
                              <w:marRight w:val="0"/>
                              <w:marTop w:val="0"/>
                              <w:marBottom w:val="0"/>
                              <w:divBdr>
                                <w:top w:val="none" w:sz="0" w:space="0" w:color="auto"/>
                                <w:left w:val="none" w:sz="0" w:space="0" w:color="auto"/>
                                <w:bottom w:val="none" w:sz="0" w:space="0" w:color="auto"/>
                                <w:right w:val="none" w:sz="0" w:space="0" w:color="auto"/>
                              </w:divBdr>
                              <w:divsChild>
                                <w:div w:id="600339045">
                                  <w:marLeft w:val="0"/>
                                  <w:marRight w:val="0"/>
                                  <w:marTop w:val="0"/>
                                  <w:marBottom w:val="0"/>
                                  <w:divBdr>
                                    <w:top w:val="none" w:sz="0" w:space="0" w:color="auto"/>
                                    <w:left w:val="none" w:sz="0" w:space="0" w:color="auto"/>
                                    <w:bottom w:val="none" w:sz="0" w:space="0" w:color="auto"/>
                                    <w:right w:val="none" w:sz="0" w:space="0" w:color="auto"/>
                                  </w:divBdr>
                                  <w:divsChild>
                                    <w:div w:id="1895314503">
                                      <w:marLeft w:val="0"/>
                                      <w:marRight w:val="0"/>
                                      <w:marTop w:val="0"/>
                                      <w:marBottom w:val="0"/>
                                      <w:divBdr>
                                        <w:top w:val="none" w:sz="0" w:space="0" w:color="auto"/>
                                        <w:left w:val="none" w:sz="0" w:space="0" w:color="auto"/>
                                        <w:bottom w:val="none" w:sz="0" w:space="0" w:color="auto"/>
                                        <w:right w:val="none" w:sz="0" w:space="0" w:color="auto"/>
                                      </w:divBdr>
                                      <w:divsChild>
                                        <w:div w:id="702169379">
                                          <w:marLeft w:val="0"/>
                                          <w:marRight w:val="0"/>
                                          <w:marTop w:val="0"/>
                                          <w:marBottom w:val="0"/>
                                          <w:divBdr>
                                            <w:top w:val="none" w:sz="0" w:space="0" w:color="auto"/>
                                            <w:left w:val="none" w:sz="0" w:space="0" w:color="auto"/>
                                            <w:bottom w:val="none" w:sz="0" w:space="0" w:color="auto"/>
                                            <w:right w:val="none" w:sz="0" w:space="0" w:color="auto"/>
                                          </w:divBdr>
                                          <w:divsChild>
                                            <w:div w:id="413472027">
                                              <w:marLeft w:val="0"/>
                                              <w:marRight w:val="0"/>
                                              <w:marTop w:val="0"/>
                                              <w:marBottom w:val="0"/>
                                              <w:divBdr>
                                                <w:top w:val="none" w:sz="0" w:space="0" w:color="auto"/>
                                                <w:left w:val="none" w:sz="0" w:space="0" w:color="auto"/>
                                                <w:bottom w:val="none" w:sz="0" w:space="0" w:color="auto"/>
                                                <w:right w:val="none" w:sz="0" w:space="0" w:color="auto"/>
                                              </w:divBdr>
                                              <w:divsChild>
                                                <w:div w:id="1220676850">
                                                  <w:marLeft w:val="0"/>
                                                  <w:marRight w:val="0"/>
                                                  <w:marTop w:val="0"/>
                                                  <w:marBottom w:val="0"/>
                                                  <w:divBdr>
                                                    <w:top w:val="none" w:sz="0" w:space="0" w:color="auto"/>
                                                    <w:left w:val="none" w:sz="0" w:space="0" w:color="auto"/>
                                                    <w:bottom w:val="none" w:sz="0" w:space="0" w:color="auto"/>
                                                    <w:right w:val="none" w:sz="0" w:space="0" w:color="auto"/>
                                                  </w:divBdr>
                                                  <w:divsChild>
                                                    <w:div w:id="1982231682">
                                                      <w:marLeft w:val="0"/>
                                                      <w:marRight w:val="0"/>
                                                      <w:marTop w:val="0"/>
                                                      <w:marBottom w:val="0"/>
                                                      <w:divBdr>
                                                        <w:top w:val="none" w:sz="0" w:space="0" w:color="auto"/>
                                                        <w:left w:val="none" w:sz="0" w:space="0" w:color="auto"/>
                                                        <w:bottom w:val="none" w:sz="0" w:space="0" w:color="auto"/>
                                                        <w:right w:val="none" w:sz="0" w:space="0" w:color="auto"/>
                                                      </w:divBdr>
                                                      <w:divsChild>
                                                        <w:div w:id="1754013431">
                                                          <w:marLeft w:val="0"/>
                                                          <w:marRight w:val="0"/>
                                                          <w:marTop w:val="0"/>
                                                          <w:marBottom w:val="0"/>
                                                          <w:divBdr>
                                                            <w:top w:val="none" w:sz="0" w:space="0" w:color="auto"/>
                                                            <w:left w:val="none" w:sz="0" w:space="0" w:color="auto"/>
                                                            <w:bottom w:val="none" w:sz="0" w:space="0" w:color="auto"/>
                                                            <w:right w:val="none" w:sz="0" w:space="0" w:color="auto"/>
                                                          </w:divBdr>
                                                          <w:divsChild>
                                                            <w:div w:id="901058280">
                                                              <w:marLeft w:val="0"/>
                                                              <w:marRight w:val="0"/>
                                                              <w:marTop w:val="0"/>
                                                              <w:marBottom w:val="0"/>
                                                              <w:divBdr>
                                                                <w:top w:val="none" w:sz="0" w:space="0" w:color="auto"/>
                                                                <w:left w:val="none" w:sz="0" w:space="0" w:color="auto"/>
                                                                <w:bottom w:val="none" w:sz="0" w:space="0" w:color="auto"/>
                                                                <w:right w:val="none" w:sz="0" w:space="0" w:color="auto"/>
                                                              </w:divBdr>
                                                              <w:divsChild>
                                                                <w:div w:id="1969776602">
                                                                  <w:marLeft w:val="0"/>
                                                                  <w:marRight w:val="0"/>
                                                                  <w:marTop w:val="0"/>
                                                                  <w:marBottom w:val="0"/>
                                                                  <w:divBdr>
                                                                    <w:top w:val="none" w:sz="0" w:space="0" w:color="auto"/>
                                                                    <w:left w:val="none" w:sz="0" w:space="0" w:color="auto"/>
                                                                    <w:bottom w:val="none" w:sz="0" w:space="0" w:color="auto"/>
                                                                    <w:right w:val="none" w:sz="0" w:space="0" w:color="auto"/>
                                                                  </w:divBdr>
                                                                  <w:divsChild>
                                                                    <w:div w:id="329725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79261308">
      <w:bodyDiv w:val="1"/>
      <w:marLeft w:val="0"/>
      <w:marRight w:val="0"/>
      <w:marTop w:val="0"/>
      <w:marBottom w:val="0"/>
      <w:divBdr>
        <w:top w:val="none" w:sz="0" w:space="0" w:color="auto"/>
        <w:left w:val="none" w:sz="0" w:space="0" w:color="auto"/>
        <w:bottom w:val="none" w:sz="0" w:space="0" w:color="auto"/>
        <w:right w:val="none" w:sz="0" w:space="0" w:color="auto"/>
      </w:divBdr>
      <w:divsChild>
        <w:div w:id="1956213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6247919">
      <w:bodyDiv w:val="1"/>
      <w:marLeft w:val="0"/>
      <w:marRight w:val="0"/>
      <w:marTop w:val="0"/>
      <w:marBottom w:val="0"/>
      <w:divBdr>
        <w:top w:val="none" w:sz="0" w:space="0" w:color="auto"/>
        <w:left w:val="none" w:sz="0" w:space="0" w:color="auto"/>
        <w:bottom w:val="none" w:sz="0" w:space="0" w:color="auto"/>
        <w:right w:val="none" w:sz="0" w:space="0" w:color="auto"/>
      </w:divBdr>
    </w:div>
    <w:div w:id="1542747643">
      <w:bodyDiv w:val="1"/>
      <w:marLeft w:val="0"/>
      <w:marRight w:val="0"/>
      <w:marTop w:val="0"/>
      <w:marBottom w:val="0"/>
      <w:divBdr>
        <w:top w:val="none" w:sz="0" w:space="0" w:color="auto"/>
        <w:left w:val="none" w:sz="0" w:space="0" w:color="auto"/>
        <w:bottom w:val="none" w:sz="0" w:space="0" w:color="auto"/>
        <w:right w:val="none" w:sz="0" w:space="0" w:color="auto"/>
      </w:divBdr>
      <w:divsChild>
        <w:div w:id="839930171">
          <w:marLeft w:val="0"/>
          <w:marRight w:val="0"/>
          <w:marTop w:val="0"/>
          <w:marBottom w:val="0"/>
          <w:divBdr>
            <w:top w:val="none" w:sz="0" w:space="0" w:color="auto"/>
            <w:left w:val="none" w:sz="0" w:space="0" w:color="auto"/>
            <w:bottom w:val="none" w:sz="0" w:space="0" w:color="auto"/>
            <w:right w:val="none" w:sz="0" w:space="0" w:color="auto"/>
          </w:divBdr>
          <w:divsChild>
            <w:div w:id="1155075474">
              <w:marLeft w:val="0"/>
              <w:marRight w:val="0"/>
              <w:marTop w:val="0"/>
              <w:marBottom w:val="0"/>
              <w:divBdr>
                <w:top w:val="none" w:sz="0" w:space="0" w:color="auto"/>
                <w:left w:val="none" w:sz="0" w:space="0" w:color="auto"/>
                <w:bottom w:val="none" w:sz="0" w:space="0" w:color="auto"/>
                <w:right w:val="none" w:sz="0" w:space="0" w:color="auto"/>
              </w:divBdr>
              <w:divsChild>
                <w:div w:id="1210074208">
                  <w:marLeft w:val="0"/>
                  <w:marRight w:val="0"/>
                  <w:marTop w:val="0"/>
                  <w:marBottom w:val="0"/>
                  <w:divBdr>
                    <w:top w:val="none" w:sz="0" w:space="0" w:color="auto"/>
                    <w:left w:val="none" w:sz="0" w:space="0" w:color="auto"/>
                    <w:bottom w:val="none" w:sz="0" w:space="0" w:color="auto"/>
                    <w:right w:val="none" w:sz="0" w:space="0" w:color="auto"/>
                  </w:divBdr>
                  <w:divsChild>
                    <w:div w:id="1430197074">
                      <w:marLeft w:val="0"/>
                      <w:marRight w:val="0"/>
                      <w:marTop w:val="0"/>
                      <w:marBottom w:val="0"/>
                      <w:divBdr>
                        <w:top w:val="none" w:sz="0" w:space="0" w:color="auto"/>
                        <w:left w:val="none" w:sz="0" w:space="0" w:color="auto"/>
                        <w:bottom w:val="none" w:sz="0" w:space="0" w:color="auto"/>
                        <w:right w:val="none" w:sz="0" w:space="0" w:color="auto"/>
                      </w:divBdr>
                      <w:divsChild>
                        <w:div w:id="641547998">
                          <w:marLeft w:val="0"/>
                          <w:marRight w:val="0"/>
                          <w:marTop w:val="0"/>
                          <w:marBottom w:val="0"/>
                          <w:divBdr>
                            <w:top w:val="none" w:sz="0" w:space="0" w:color="auto"/>
                            <w:left w:val="none" w:sz="0" w:space="0" w:color="auto"/>
                            <w:bottom w:val="none" w:sz="0" w:space="0" w:color="auto"/>
                            <w:right w:val="none" w:sz="0" w:space="0" w:color="auto"/>
                          </w:divBdr>
                          <w:divsChild>
                            <w:div w:id="649948399">
                              <w:marLeft w:val="0"/>
                              <w:marRight w:val="0"/>
                              <w:marTop w:val="0"/>
                              <w:marBottom w:val="0"/>
                              <w:divBdr>
                                <w:top w:val="none" w:sz="0" w:space="0" w:color="auto"/>
                                <w:left w:val="none" w:sz="0" w:space="0" w:color="auto"/>
                                <w:bottom w:val="none" w:sz="0" w:space="0" w:color="auto"/>
                                <w:right w:val="none" w:sz="0" w:space="0" w:color="auto"/>
                              </w:divBdr>
                              <w:divsChild>
                                <w:div w:id="2060125565">
                                  <w:marLeft w:val="0"/>
                                  <w:marRight w:val="0"/>
                                  <w:marTop w:val="0"/>
                                  <w:marBottom w:val="0"/>
                                  <w:divBdr>
                                    <w:top w:val="none" w:sz="0" w:space="0" w:color="auto"/>
                                    <w:left w:val="none" w:sz="0" w:space="0" w:color="auto"/>
                                    <w:bottom w:val="none" w:sz="0" w:space="0" w:color="auto"/>
                                    <w:right w:val="none" w:sz="0" w:space="0" w:color="auto"/>
                                  </w:divBdr>
                                  <w:divsChild>
                                    <w:div w:id="1406494363">
                                      <w:marLeft w:val="0"/>
                                      <w:marRight w:val="0"/>
                                      <w:marTop w:val="0"/>
                                      <w:marBottom w:val="0"/>
                                      <w:divBdr>
                                        <w:top w:val="none" w:sz="0" w:space="0" w:color="auto"/>
                                        <w:left w:val="none" w:sz="0" w:space="0" w:color="auto"/>
                                        <w:bottom w:val="none" w:sz="0" w:space="0" w:color="auto"/>
                                        <w:right w:val="none" w:sz="0" w:space="0" w:color="auto"/>
                                      </w:divBdr>
                                      <w:divsChild>
                                        <w:div w:id="772936787">
                                          <w:marLeft w:val="0"/>
                                          <w:marRight w:val="0"/>
                                          <w:marTop w:val="0"/>
                                          <w:marBottom w:val="0"/>
                                          <w:divBdr>
                                            <w:top w:val="none" w:sz="0" w:space="0" w:color="auto"/>
                                            <w:left w:val="none" w:sz="0" w:space="0" w:color="auto"/>
                                            <w:bottom w:val="none" w:sz="0" w:space="0" w:color="auto"/>
                                            <w:right w:val="none" w:sz="0" w:space="0" w:color="auto"/>
                                          </w:divBdr>
                                          <w:divsChild>
                                            <w:div w:id="363212828">
                                              <w:marLeft w:val="0"/>
                                              <w:marRight w:val="0"/>
                                              <w:marTop w:val="0"/>
                                              <w:marBottom w:val="0"/>
                                              <w:divBdr>
                                                <w:top w:val="none" w:sz="0" w:space="0" w:color="auto"/>
                                                <w:left w:val="none" w:sz="0" w:space="0" w:color="auto"/>
                                                <w:bottom w:val="none" w:sz="0" w:space="0" w:color="auto"/>
                                                <w:right w:val="none" w:sz="0" w:space="0" w:color="auto"/>
                                              </w:divBdr>
                                              <w:divsChild>
                                                <w:div w:id="985814329">
                                                  <w:marLeft w:val="0"/>
                                                  <w:marRight w:val="0"/>
                                                  <w:marTop w:val="0"/>
                                                  <w:marBottom w:val="0"/>
                                                  <w:divBdr>
                                                    <w:top w:val="none" w:sz="0" w:space="0" w:color="auto"/>
                                                    <w:left w:val="none" w:sz="0" w:space="0" w:color="auto"/>
                                                    <w:bottom w:val="none" w:sz="0" w:space="0" w:color="auto"/>
                                                    <w:right w:val="none" w:sz="0" w:space="0" w:color="auto"/>
                                                  </w:divBdr>
                                                  <w:divsChild>
                                                    <w:div w:id="582226276">
                                                      <w:marLeft w:val="0"/>
                                                      <w:marRight w:val="0"/>
                                                      <w:marTop w:val="0"/>
                                                      <w:marBottom w:val="0"/>
                                                      <w:divBdr>
                                                        <w:top w:val="none" w:sz="0" w:space="0" w:color="auto"/>
                                                        <w:left w:val="none" w:sz="0" w:space="0" w:color="auto"/>
                                                        <w:bottom w:val="none" w:sz="0" w:space="0" w:color="auto"/>
                                                        <w:right w:val="none" w:sz="0" w:space="0" w:color="auto"/>
                                                      </w:divBdr>
                                                      <w:divsChild>
                                                        <w:div w:id="1087767526">
                                                          <w:marLeft w:val="0"/>
                                                          <w:marRight w:val="0"/>
                                                          <w:marTop w:val="0"/>
                                                          <w:marBottom w:val="0"/>
                                                          <w:divBdr>
                                                            <w:top w:val="none" w:sz="0" w:space="0" w:color="auto"/>
                                                            <w:left w:val="none" w:sz="0" w:space="0" w:color="auto"/>
                                                            <w:bottom w:val="none" w:sz="0" w:space="0" w:color="auto"/>
                                                            <w:right w:val="none" w:sz="0" w:space="0" w:color="auto"/>
                                                          </w:divBdr>
                                                          <w:divsChild>
                                                            <w:div w:id="903762564">
                                                              <w:marLeft w:val="0"/>
                                                              <w:marRight w:val="0"/>
                                                              <w:marTop w:val="0"/>
                                                              <w:marBottom w:val="0"/>
                                                              <w:divBdr>
                                                                <w:top w:val="none" w:sz="0" w:space="0" w:color="auto"/>
                                                                <w:left w:val="none" w:sz="0" w:space="0" w:color="auto"/>
                                                                <w:bottom w:val="none" w:sz="0" w:space="0" w:color="auto"/>
                                                                <w:right w:val="none" w:sz="0" w:space="0" w:color="auto"/>
                                                              </w:divBdr>
                                                              <w:divsChild>
                                                                <w:div w:id="1090660700">
                                                                  <w:marLeft w:val="0"/>
                                                                  <w:marRight w:val="0"/>
                                                                  <w:marTop w:val="0"/>
                                                                  <w:marBottom w:val="0"/>
                                                                  <w:divBdr>
                                                                    <w:top w:val="none" w:sz="0" w:space="0" w:color="auto"/>
                                                                    <w:left w:val="none" w:sz="0" w:space="0" w:color="auto"/>
                                                                    <w:bottom w:val="none" w:sz="0" w:space="0" w:color="auto"/>
                                                                    <w:right w:val="none" w:sz="0" w:space="0" w:color="auto"/>
                                                                  </w:divBdr>
                                                                  <w:divsChild>
                                                                    <w:div w:id="611087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099996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7ds.snu.ac.kr/visibility"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7ds.snu.ac.kr/overhead"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7ds.snu.ac.kr/tile" TargetMode="External"/><Relationship Id="rId4" Type="http://schemas.openxmlformats.org/officeDocument/2006/relationships/webSettings" Target="webSettings.xml"/><Relationship Id="rId9" Type="http://schemas.openxmlformats.org/officeDocument/2006/relationships/hyperlink" Target="http://7ds.snu.ac.kr/exptim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4</Pages>
  <Words>1933</Words>
  <Characters>11023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Microsoft Office User</cp:lastModifiedBy>
  <cp:revision>2</cp:revision>
  <dcterms:created xsi:type="dcterms:W3CDTF">2026-09-29T12:04:00Z</dcterms:created>
  <dcterms:modified xsi:type="dcterms:W3CDTF">2026-09-30T05:46:00Z</dcterms:modified>
</cp:coreProperties>
</file>